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4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郑四华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1963.11</w:t>
            </w: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drawing>
                <wp:inline distT="0" distB="0" distL="114300" distR="114300">
                  <wp:extent cx="1114425" cy="1753235"/>
                  <wp:effectExtent l="0" t="0" r="3175" b="12065"/>
                  <wp:docPr id="1" name="图片 1" descr="20121231183331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2123118333195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eastAsia="zh-CN"/>
              </w:rPr>
              <w:t>（</w:t>
            </w:r>
            <w:r>
              <w:rPr>
                <w:rFonts w:hint="eastAsia"/>
                <w:w w:val="90"/>
                <w:sz w:val="24"/>
                <w:lang w:val="en-US" w:eastAsia="zh-CN"/>
              </w:rPr>
              <w:t>硕士生导师</w:t>
            </w:r>
            <w:r>
              <w:rPr>
                <w:rFonts w:hint="eastAsia"/>
                <w:w w:val="90"/>
                <w:sz w:val="24"/>
                <w:lang w:eastAsia="zh-CN"/>
              </w:rPr>
              <w:t>）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本科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江西省委党校理论班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国际贸易学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13879888463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Kyzsh2010@163.com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2"/>
              </w:rPr>
              <w:t>1985至1994年在景德镇三中教学</w:t>
            </w:r>
            <w:r>
              <w:rPr>
                <w:rFonts w:hint="eastAsia" w:ascii="宋体" w:hAnsi="宋体"/>
                <w:sz w:val="22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2"/>
              </w:rPr>
              <w:t>1994调入景德镇陶瓷大学管理与经济学院任教。</w:t>
            </w:r>
          </w:p>
          <w:p>
            <w:pPr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2"/>
              </w:rPr>
              <w:t>1996年组建并担任国贸教研室主任</w:t>
            </w:r>
            <w:r>
              <w:rPr>
                <w:rFonts w:hint="eastAsia" w:ascii="宋体" w:hAnsi="宋体"/>
                <w:sz w:val="22"/>
                <w:lang w:eastAsia="zh-CN"/>
              </w:rPr>
              <w:t>。</w:t>
            </w:r>
          </w:p>
          <w:p>
            <w:pPr>
              <w:rPr>
                <w:rFonts w:hint="eastAsia" w:ascii="黑体" w:eastAsia="黑体" w:hAnsiTheme="minorHAnsi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2"/>
              </w:rPr>
              <w:t>2005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-2022</w:t>
            </w:r>
            <w:r>
              <w:rPr>
                <w:rFonts w:hint="eastAsia" w:ascii="宋体" w:hAnsi="宋体"/>
                <w:sz w:val="22"/>
              </w:rPr>
              <w:t>组建并担任景德镇陶瓷大学科技艺术学院法商系主任。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</w:t>
            </w:r>
          </w:p>
          <w:p>
            <w:p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《区域经济学》、《国际贸易理论与政策》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firstLine="0"/>
              <w:textAlignment w:val="auto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“景德镇陶瓷私营经济现状及发展”研究获江西省第十次社会科学成果二等奖，2002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2.“论我国陶瓷工业产品在国际市场中的定位”获景德镇市第一次社会科学成果二等奖，2003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3.“论打造中国陶瓷世界名牌的策略”获景德镇市第二次社会科学成果三等奖，2004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4.“证券投资学”获江西省第四届普通高等学校优秀教材二等奖，2010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学术论文、论著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bidi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 论我国陶瓷工业产品在国际市场中的定位，江西社会科学；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2001.10；</w:t>
            </w:r>
          </w:p>
          <w:p>
            <w:pPr>
              <w:bidi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 论打造中国陶瓷世界名牌的策略，中国陶瓷；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2003.6；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3.江西工业企业开拓东盟自由贸易区市场对策研究，企业经济2004.5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建立反倾销数据动态分析预警系统，商业时代，2004.7；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法国艺术陶瓷市场特点及开拓对策，中国陶瓷工业，2005.5；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艺术陶瓷产品开拓欧盟市场的策略，中国陶瓷，2005.5；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建筑陶瓷反倾销预警系统的设计，企业经济，2005.10；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出口陶瓷产品反倾销预警系统的设计，企业经济，2006.1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陶瓷企业销售管理系统的设计，企业经济，2006.5；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发展陶瓷生态工业的对策，生态经济，2006.10；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江西工业企业在中国-东盟自由贸易区的竞争力研究，企业经济，2006.10；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.景德镇艺术陶瓷企业在中国-东盟自由贸易区的竞争力培育，中国陶瓷，2006.12；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.发展生态型建筑陶瓷工业的对策，中国陶瓷，2007.10。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.商业银行信贷风险预警系统的设计，企业经济，2007.12；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江西生产性服务业发展现状、问题及对策，企业经济，2008.12；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.生态工业的基础理论及问题研究综述，企业经济，2010.2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.江西省生态工业发展对策探讨，企业经济，2010.3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 江西生产性服务业发展竞争力评价研究 ，特区经济 2011.6 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19鄱阳湖生态经济区先进制造业发展水平评价及对策——以南昌、景德镇、九江三市为例，企业经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2012.3；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20.鄱阳湖生态经济区先进制造业发展发展战略的SWOT分析，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企业经济，201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21.江西省最终需求与工业企业的发展的相关关系研究，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企业经济，201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货币政策对国民收入的再分配的经济学分析，金融与经济，2014.1；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金融非均衡发展与城乡居民消费差距的关系研究，商业时代，2014.3；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江西省先进制造业比较研究，企业经济，2015.2；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基于SWOT分析的景德镇高技术陶瓷先进制造业发展对策研究,  经营者, 2015.4；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景德镇陶瓷产业资源聚集区发展面临的问题及对策，中国陶瓷，2016.1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基于钻石模型的景德镇高技术陶瓷产业竞争力研究，山东陶瓷，2016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景德镇陶瓷艺术品市场金融化发展的SWOT分析，经营者，2016, 29；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景德镇高技术陶瓷产业竞争力评价体系的构建，经营者，2016, 30；</w:t>
            </w:r>
          </w:p>
          <w:p>
            <w:pPr>
              <w:bidi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基于价值链理论的陶瓷文化创意产业的特点及策略研究, 山东陶20170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;     31.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“财务机器人”对企业会计的影响及对策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经济管理文摘，2019.10；</w:t>
            </w:r>
          </w:p>
          <w:p>
            <w:pPr>
              <w:bidi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32.区块链技术破解电子发票管理难题，广西质量监督导报，2021.4；</w:t>
            </w:r>
          </w:p>
          <w:p>
            <w:pPr>
              <w:bidi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33.谈人工智能环境下会计工作风险与对策，广西质量监督导报，2021.4。</w:t>
            </w:r>
          </w:p>
        </w:tc>
      </w:tr>
    </w:tbl>
    <w:p>
      <w:pPr>
        <w:ind w:firstLine="6264" w:firstLineChars="2600"/>
        <w:jc w:val="both"/>
        <w:rPr>
          <w:rFonts w:hint="default" w:eastAsia="黑体"/>
          <w:sz w:val="24"/>
          <w:lang w:val="en-US" w:eastAsia="zh-CN"/>
        </w:rPr>
      </w:pPr>
      <w:r>
        <w:rPr>
          <w:rFonts w:hint="eastAsia" w:ascii="黑体" w:eastAsia="黑体"/>
          <w:b/>
          <w:sz w:val="24"/>
        </w:rPr>
        <w:t>更新日期：</w:t>
      </w:r>
      <w:r>
        <w:rPr>
          <w:rFonts w:hint="eastAsia" w:ascii="黑体" w:eastAsia="黑体"/>
          <w:b/>
          <w:sz w:val="24"/>
          <w:lang w:val="en-US" w:eastAsia="zh-CN"/>
        </w:rPr>
        <w:t>2022.4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BDDD0D"/>
    <w:multiLevelType w:val="singleLevel"/>
    <w:tmpl w:val="72BDDD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E11B62"/>
    <w:rsid w:val="01397FEC"/>
    <w:rsid w:val="157A58A0"/>
    <w:rsid w:val="189005F7"/>
    <w:rsid w:val="1DE45340"/>
    <w:rsid w:val="1FE44638"/>
    <w:rsid w:val="230921F3"/>
    <w:rsid w:val="2408579C"/>
    <w:rsid w:val="26FD33A7"/>
    <w:rsid w:val="2B1B47EC"/>
    <w:rsid w:val="2B2E6466"/>
    <w:rsid w:val="30033231"/>
    <w:rsid w:val="370D655A"/>
    <w:rsid w:val="39907CB9"/>
    <w:rsid w:val="3B6E56E7"/>
    <w:rsid w:val="48B06B8A"/>
    <w:rsid w:val="4E52163B"/>
    <w:rsid w:val="63AF377A"/>
    <w:rsid w:val="6C1734DF"/>
    <w:rsid w:val="6C22450D"/>
    <w:rsid w:val="6D013C05"/>
    <w:rsid w:val="716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1793</Words>
  <Characters>2143</Characters>
  <Lines>0</Lines>
  <Paragraphs>0</Paragraphs>
  <TotalTime>0</TotalTime>
  <ScaleCrop>false</ScaleCrop>
  <LinksUpToDate>false</LinksUpToDate>
  <CharactersWithSpaces>2386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2022-05-03T07:16:10Z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921504CB40CC480AAF74A88B0920EA89</vt:lpwstr>
  </property>
</Properties>
</file>